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仿宋_GB2312" w:eastAsia="仿宋_GB2312"/>
          <w:b/>
          <w:sz w:val="36"/>
          <w:szCs w:val="36"/>
          <w:lang w:val="en-US" w:eastAsia="zh-CN"/>
        </w:rPr>
      </w:pPr>
    </w:p>
    <w:p>
      <w:pPr>
        <w:spacing w:line="500" w:lineRule="exact"/>
        <w:jc w:val="center"/>
        <w:rPr>
          <w:rFonts w:hint="eastAsia"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  <w:lang w:val="en-US" w:eastAsia="zh-CN"/>
        </w:rPr>
        <w:t>柳州元通投资发展有限公司</w:t>
      </w:r>
      <w:r>
        <w:rPr>
          <w:rFonts w:hint="eastAsia" w:ascii="仿宋_GB2312" w:eastAsia="仿宋_GB2312"/>
          <w:b/>
          <w:sz w:val="36"/>
          <w:szCs w:val="36"/>
        </w:rPr>
        <w:t>企业负责人20</w:t>
      </w:r>
      <w:r>
        <w:rPr>
          <w:rFonts w:hint="eastAsia" w:ascii="仿宋_GB2312" w:eastAsia="仿宋_GB2312"/>
          <w:b/>
          <w:sz w:val="36"/>
          <w:szCs w:val="36"/>
          <w:lang w:val="en-US" w:eastAsia="zh-CN"/>
        </w:rPr>
        <w:t>20</w:t>
      </w:r>
      <w:r>
        <w:rPr>
          <w:rFonts w:hint="eastAsia" w:ascii="仿宋_GB2312" w:eastAsia="仿宋_GB2312"/>
          <w:b/>
          <w:sz w:val="36"/>
          <w:szCs w:val="36"/>
        </w:rPr>
        <w:t>年度薪酬信息披露</w:t>
      </w:r>
    </w:p>
    <w:tbl>
      <w:tblPr>
        <w:tblStyle w:val="2"/>
        <w:tblW w:w="15735" w:type="dxa"/>
        <w:tblInd w:w="-8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4"/>
        <w:gridCol w:w="1017"/>
        <w:gridCol w:w="1440"/>
        <w:gridCol w:w="1279"/>
        <w:gridCol w:w="2520"/>
        <w:gridCol w:w="2700"/>
        <w:gridCol w:w="1533"/>
        <w:gridCol w:w="1499"/>
        <w:gridCol w:w="1499"/>
        <w:gridCol w:w="11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67" w:hRule="atLeast"/>
        </w:trPr>
        <w:tc>
          <w:tcPr>
            <w:tcW w:w="112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bookmarkStart w:id="0" w:name="OLE_LINK1"/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01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44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</w:t>
            </w:r>
          </w:p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</w:t>
            </w:r>
          </w:p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803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/>
                <w:szCs w:val="21"/>
              </w:rPr>
              <w:t>年度从本企业获得的税前报酬情况（单位：万元）</w:t>
            </w:r>
          </w:p>
        </w:tc>
        <w:tc>
          <w:tcPr>
            <w:tcW w:w="1499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应付</w:t>
            </w:r>
          </w:p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2017-2019年</w:t>
            </w:r>
          </w:p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任期激励收入</w:t>
            </w:r>
          </w:p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（万元）</w:t>
            </w:r>
          </w:p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99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是否在股东单位或其他关联方领职薪酬</w:t>
            </w:r>
          </w:p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24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在关联方领取的税前薪酬总额（万元）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40" w:hRule="atLeast"/>
        </w:trPr>
        <w:tc>
          <w:tcPr>
            <w:tcW w:w="1124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17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widowControl/>
              <w:rPr>
                <w:rFonts w:hint="eastAsia" w:ascii="宋体" w:hAnsi="宋体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应付</w:t>
            </w:r>
          </w:p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年薪</w:t>
            </w:r>
          </w:p>
          <w:p>
            <w:pPr>
              <w:widowControl/>
              <w:rPr>
                <w:rFonts w:hint="eastAsia" w:ascii="宋体" w:hAnsi="宋体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（1）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社会保险、企业年金、补充医疗保险及住房公积金的单位缴存部分</w:t>
            </w:r>
          </w:p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（2）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其他货币性收入</w:t>
            </w:r>
          </w:p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交通补贴</w:t>
            </w:r>
            <w:r>
              <w:rPr>
                <w:rFonts w:hint="eastAsia" w:ascii="宋体" w:hAnsi="宋体"/>
                <w:szCs w:val="21"/>
              </w:rPr>
              <w:t>）</w:t>
            </w:r>
          </w:p>
          <w:p>
            <w:pPr>
              <w:widowControl/>
              <w:rPr>
                <w:rFonts w:hint="eastAsia" w:ascii="宋体" w:hAnsi="宋体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（3）</w:t>
            </w:r>
          </w:p>
        </w:tc>
        <w:tc>
          <w:tcPr>
            <w:tcW w:w="153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合计</w:t>
            </w:r>
          </w:p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（4）=（1）+（2）+（3）</w:t>
            </w:r>
          </w:p>
        </w:tc>
        <w:tc>
          <w:tcPr>
            <w:tcW w:w="1499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99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24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3" w:hRule="atLeast"/>
        </w:trPr>
        <w:tc>
          <w:tcPr>
            <w:tcW w:w="11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赵敏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总经理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2019年11月--至今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32.94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4.08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37.02</w:t>
            </w:r>
          </w:p>
        </w:tc>
        <w:tc>
          <w:tcPr>
            <w:tcW w:w="1499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0.23</w:t>
            </w:r>
          </w:p>
        </w:tc>
        <w:tc>
          <w:tcPr>
            <w:tcW w:w="149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</w:t>
            </w:r>
          </w:p>
        </w:tc>
        <w:tc>
          <w:tcPr>
            <w:tcW w:w="112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8" w:hRule="atLeast"/>
        </w:trPr>
        <w:tc>
          <w:tcPr>
            <w:tcW w:w="112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17" w:type="dxa"/>
            <w:noWrap w:val="0"/>
            <w:vAlign w:val="top"/>
          </w:tcPr>
          <w:p>
            <w:pPr>
              <w:widowControl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7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533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9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9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24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0" w:hRule="atLeast"/>
        </w:trPr>
        <w:tc>
          <w:tcPr>
            <w:tcW w:w="112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17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widowControl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33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9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9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24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0" w:hRule="atLeast"/>
        </w:trPr>
        <w:tc>
          <w:tcPr>
            <w:tcW w:w="112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17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widowControl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33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9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9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24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0" w:hRule="atLeast"/>
        </w:trPr>
        <w:tc>
          <w:tcPr>
            <w:tcW w:w="112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17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widowControl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33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  <w:bookmarkStart w:id="1" w:name="_GoBack"/>
            <w:bookmarkEnd w:id="1"/>
          </w:p>
        </w:tc>
        <w:tc>
          <w:tcPr>
            <w:tcW w:w="149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9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24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spacing w:line="360" w:lineRule="exac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备注：1.上表披露的应付年薪为税前薪酬，未扣除个人所得税和五险一金的个人缴费部分。</w:t>
      </w:r>
    </w:p>
    <w:p>
      <w:pPr>
        <w:spacing w:line="360" w:lineRule="exact"/>
        <w:ind w:left="1120" w:hanging="1120" w:hangingChars="4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2.根据薪酬管理规定，国有企业负责人任期激励收入在三年任期结束后进行核定，实行延期支付办法，严格按6:2:2的比例逐年兑现。</w:t>
      </w:r>
    </w:p>
    <w:p>
      <w:pPr>
        <w:spacing w:line="360" w:lineRule="exact"/>
        <w:ind w:left="1120" w:hanging="1120" w:hangingChars="4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3. 其他需要说明的事项。</w:t>
      </w:r>
    </w:p>
    <w:bookmarkEnd w:id="0"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FD40FD"/>
    <w:rsid w:val="00396588"/>
    <w:rsid w:val="6BFD40FD"/>
    <w:rsid w:val="CFAD8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2022-04-21T08:23:00Z</dcterms:created>
  <dc:creator>空悬龙</dc:creator>
  <cp:lastModifiedBy>gxxc</cp:lastModifiedBy>
  <dcterms:modified xsi:type="dcterms:W3CDTF">2022-04-24T09:00:03Z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5BE9B5DE297C491380F801F21781A2CB</vt:lpwstr>
  </property>
  <property fmtid="{D5CDD505-2E9C-101B-9397-08002B2CF9AE}" pid="4" name="commondata">
    <vt:lpwstr>eyJoZGlkIjoiZDdmZTk2YzlmZmY3YzJmMjBlYzQxZjkzMTQyYzdjNWIifQ==</vt:lpwstr>
  </property>
</Properties>
</file>